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C21F" w14:textId="77777777" w:rsidR="00B7652C" w:rsidRPr="00864C49" w:rsidRDefault="00000000">
      <w:pPr>
        <w:spacing w:after="40"/>
        <w:jc w:val="center"/>
        <w:rPr>
          <w:rFonts w:ascii="Bookman Old Style" w:hAnsi="Bookman Old Style"/>
        </w:rPr>
      </w:pPr>
      <w:r w:rsidRPr="00864C49">
        <w:rPr>
          <w:rFonts w:ascii="Bookman Old Style" w:hAnsi="Bookman Old Style"/>
          <w:shd w:val="clear" w:color="auto" w:fill="FFF59D"/>
        </w:rPr>
        <w:t>[AGENCY NAME]</w:t>
      </w:r>
    </w:p>
    <w:p w14:paraId="7A26C220" w14:textId="77777777" w:rsidR="00B7652C" w:rsidRPr="00864C49" w:rsidRDefault="00000000">
      <w:pPr>
        <w:spacing w:after="200"/>
        <w:jc w:val="center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  <w:color w:val="5B6B6C"/>
          <w:spacing w:val="60"/>
          <w:sz w:val="20"/>
          <w:szCs w:val="20"/>
        </w:rPr>
        <w:t>BOARD POLICY MANUAL</w:t>
      </w:r>
    </w:p>
    <w:p w14:paraId="7A26C221" w14:textId="77777777" w:rsidR="00B7652C" w:rsidRPr="00864C49" w:rsidRDefault="00000000">
      <w:pPr>
        <w:pStyle w:val="Title"/>
        <w:spacing w:after="240"/>
        <w:jc w:val="center"/>
        <w:rPr>
          <w:rFonts w:ascii="Bookman Old Style" w:hAnsi="Bookman Old Style"/>
        </w:rPr>
      </w:pPr>
      <w:r w:rsidRPr="00864C49">
        <w:rPr>
          <w:rFonts w:ascii="Bookman Old Style" w:hAnsi="Bookman Old Style"/>
          <w:shd w:val="clear" w:color="auto" w:fill="FFF59D"/>
        </w:rPr>
        <w:t>[Policy Title]</w:t>
      </w:r>
    </w:p>
    <w:p w14:paraId="7A26C222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1.0  Policy Header</w:t>
      </w:r>
    </w:p>
    <w:tbl>
      <w:tblPr>
        <w:tblW w:w="9360" w:type="dxa"/>
        <w:tblBorders>
          <w:top w:val="single" w:sz="12" w:space="0" w:color="0F3D3E"/>
          <w:left w:val="none" w:sz="0" w:space="0" w:color="FFFFFF"/>
          <w:bottom w:val="single" w:sz="12" w:space="0" w:color="0F3D3E"/>
          <w:right w:val="none" w:sz="0" w:space="0" w:color="FFFFFF"/>
          <w:insideH w:val="single" w:sz="4" w:space="0" w:color="D5DFDD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660"/>
      </w:tblGrid>
      <w:tr w:rsidR="00B7652C" w:rsidRPr="00864C49" w14:paraId="7A26C2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23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Policy Title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24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[Short, descriptive title]</w:t>
            </w:r>
          </w:p>
        </w:tc>
      </w:tr>
      <w:tr w:rsidR="00B7652C" w:rsidRPr="00864C49" w14:paraId="7A26C2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26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Policy ID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27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[Series-Number, e.g., 500-03]</w:t>
            </w:r>
          </w:p>
        </w:tc>
      </w:tr>
      <w:tr w:rsidR="00B7652C" w:rsidRPr="00864C49" w14:paraId="7A26C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29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Effective Date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2A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[Month Day, Year]</w:t>
            </w:r>
          </w:p>
        </w:tc>
      </w:tr>
      <w:tr w:rsidR="00B7652C" w:rsidRPr="00864C49" w14:paraId="7A26C2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2C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Adopted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2D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[Month Day, Year]</w:t>
            </w:r>
            <w:r w:rsidRPr="00864C49">
              <w:rPr>
                <w:rFonts w:ascii="Bookman Old Style" w:hAnsi="Bookman Old Style"/>
              </w:rPr>
              <w:t xml:space="preserve">, </w:t>
            </w:r>
            <w:r w:rsidRPr="00864C49">
              <w:rPr>
                <w:rFonts w:ascii="Bookman Old Style" w:hAnsi="Bookman Old Style"/>
                <w:shd w:val="clear" w:color="auto" w:fill="FFF59D"/>
              </w:rPr>
              <w:t>[Board name]</w:t>
            </w:r>
            <w:r w:rsidRPr="00864C49">
              <w:rPr>
                <w:rFonts w:ascii="Bookman Old Style" w:hAnsi="Bookman Old Style"/>
              </w:rPr>
              <w:t xml:space="preserve"> (Minutes, Item </w:t>
            </w:r>
            <w:r w:rsidRPr="00864C49">
              <w:rPr>
                <w:rFonts w:ascii="Bookman Old Style" w:hAnsi="Bookman Old Style"/>
                <w:shd w:val="clear" w:color="auto" w:fill="FFF59D"/>
              </w:rPr>
              <w:t>[#]</w:t>
            </w:r>
            <w:r w:rsidRPr="00864C49">
              <w:rPr>
                <w:rFonts w:ascii="Bookman Old Style" w:hAnsi="Bookman Old Style"/>
              </w:rPr>
              <w:t>)</w:t>
            </w:r>
          </w:p>
        </w:tc>
      </w:tr>
      <w:tr w:rsidR="00B7652C" w:rsidRPr="00864C49" w14:paraId="7A26C2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2F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Last Revised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30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[Month Day, Year, or N/A]</w:t>
            </w:r>
          </w:p>
        </w:tc>
      </w:tr>
      <w:tr w:rsidR="00B7652C" w:rsidRPr="00864C49" w14:paraId="7A26C2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32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Review Cycle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33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[Annual / Every 3 years]</w:t>
            </w:r>
            <w:r w:rsidRPr="00864C49">
              <w:rPr>
                <w:rFonts w:ascii="Bookman Old Style" w:hAnsi="Bookman Old Style"/>
              </w:rPr>
              <w:t xml:space="preserve">   |   Next review: </w:t>
            </w:r>
            <w:r w:rsidRPr="00864C49">
              <w:rPr>
                <w:rFonts w:ascii="Bookman Old Style" w:hAnsi="Bookman Old Style"/>
                <w:shd w:val="clear" w:color="auto" w:fill="FFF59D"/>
              </w:rPr>
              <w:t>[Month Year]</w:t>
            </w:r>
          </w:p>
        </w:tc>
      </w:tr>
      <w:tr w:rsidR="00B7652C" w:rsidRPr="00864C49" w14:paraId="7A26C2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shd w:val="clear" w:color="auto" w:fill="F2F6F5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26C235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</w:rPr>
              <w:t>Companion Procedure</w:t>
            </w:r>
          </w:p>
        </w:tc>
        <w:tc>
          <w:tcPr>
            <w:tcW w:w="6660" w:type="dxa"/>
            <w:tcMar>
              <w:top w:w="80" w:type="dxa"/>
              <w:left w:w="160" w:type="dxa"/>
              <w:bottom w:w="80" w:type="dxa"/>
              <w:right w:w="140" w:type="dxa"/>
            </w:tcMar>
            <w:vAlign w:val="center"/>
          </w:tcPr>
          <w:p w14:paraId="7A26C236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[Procedure ID, or None]</w:t>
            </w:r>
          </w:p>
        </w:tc>
      </w:tr>
    </w:tbl>
    <w:p w14:paraId="7A26C238" w14:textId="77777777" w:rsidR="00B7652C" w:rsidRPr="00864C49" w:rsidRDefault="00B7652C">
      <w:pPr>
        <w:spacing w:after="120"/>
        <w:rPr>
          <w:rFonts w:ascii="Bookman Old Style" w:hAnsi="Bookman Old Style"/>
        </w:rPr>
      </w:pPr>
    </w:p>
    <w:tbl>
      <w:tblPr>
        <w:tblW w:w="9360" w:type="dxa"/>
        <w:tblBorders>
          <w:top w:val="none" w:sz="0" w:space="0" w:color="FFFFFF"/>
          <w:left w:val="single" w:sz="24" w:space="0" w:color="0F3D3E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E3ECEB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39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0F3D3E"/>
                <w:spacing w:val="30"/>
                <w:sz w:val="16"/>
                <w:szCs w:val="16"/>
              </w:rPr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3A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Use your series numbering (100 Governance, 200 Administration, 300 Finance, 400 Personnel, 500 Students, 600 Instruction).</w:t>
            </w:r>
          </w:p>
          <w:p w14:paraId="7A26C23B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The adoption date must match the board minutes.</w:t>
            </w:r>
          </w:p>
          <w:p w14:paraId="7A26C23C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Give a real next review date, not just "annual."</w:t>
            </w:r>
          </w:p>
        </w:tc>
      </w:tr>
    </w:tbl>
    <w:p w14:paraId="7A26C23E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2.0  Purpose</w:t>
      </w:r>
    </w:p>
    <w:p w14:paraId="7A26C23F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 xml:space="preserve">This policy </w:t>
      </w:r>
      <w:r w:rsidRPr="00864C49">
        <w:rPr>
          <w:rFonts w:ascii="Bookman Old Style" w:hAnsi="Bookman Old Style"/>
          <w:shd w:val="clear" w:color="auto" w:fill="FFF59D"/>
        </w:rPr>
        <w:t>[establishes / sets out]</w:t>
      </w:r>
      <w:r w:rsidRPr="00864C49">
        <w:rPr>
          <w:rFonts w:ascii="Bookman Old Style" w:hAnsi="Bookman Old Style"/>
        </w:rPr>
        <w:t xml:space="preserve"> </w:t>
      </w:r>
      <w:r w:rsidRPr="00864C49">
        <w:rPr>
          <w:rFonts w:ascii="Bookman Old Style" w:hAnsi="Bookman Old Style"/>
          <w:shd w:val="clear" w:color="auto" w:fill="FFF59D"/>
        </w:rPr>
        <w:t>[what the policy does]</w:t>
      </w:r>
      <w:r w:rsidRPr="00864C49">
        <w:rPr>
          <w:rFonts w:ascii="Bookman Old Style" w:hAnsi="Bookman Old Style"/>
        </w:rPr>
        <w:t xml:space="preserve">. Its objective is to </w:t>
      </w:r>
      <w:r w:rsidRPr="00864C49">
        <w:rPr>
          <w:rFonts w:ascii="Bookman Old Style" w:hAnsi="Bookman Old Style"/>
          <w:shd w:val="clear" w:color="auto" w:fill="FFF59D"/>
        </w:rPr>
        <w:t>[the goal it achieves or the problem it prevents]</w:t>
      </w:r>
      <w:r w:rsidRPr="00864C49">
        <w:rPr>
          <w:rFonts w:ascii="Bookman Old Style" w:hAnsi="Bookman Old Style"/>
        </w:rPr>
        <w:t>.</w:t>
      </w:r>
    </w:p>
    <w:tbl>
      <w:tblPr>
        <w:tblW w:w="9360" w:type="dxa"/>
        <w:tblBorders>
          <w:top w:val="none" w:sz="0" w:space="0" w:color="FFFFFF"/>
          <w:left w:val="single" w:sz="24" w:space="0" w:color="2E8B7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E2F2EE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40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2E8B7A"/>
                <w:spacing w:val="30"/>
                <w:sz w:val="16"/>
                <w:szCs w:val="16"/>
              </w:rPr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41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Two to three sentences. Say why the policy exists.</w:t>
            </w:r>
          </w:p>
          <w:p w14:paraId="7A26C242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Tie it to your mission or a legal requirement.</w:t>
            </w:r>
          </w:p>
          <w:p w14:paraId="7A26C243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No rules, deadlines, or consequences here.</w:t>
            </w:r>
          </w:p>
        </w:tc>
      </w:tr>
    </w:tbl>
    <w:p w14:paraId="7A26C245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3.0  Scope</w:t>
      </w:r>
    </w:p>
    <w:p w14:paraId="7A26C246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 xml:space="preserve">This policy applies to </w:t>
      </w:r>
      <w:r w:rsidRPr="00864C49">
        <w:rPr>
          <w:rFonts w:ascii="Bookman Old Style" w:hAnsi="Bookman Old Style"/>
          <w:shd w:val="clear" w:color="auto" w:fill="FFF59D"/>
        </w:rPr>
        <w:t>[who: students, employees, board members, visitors, contractors]</w:t>
      </w:r>
      <w:r w:rsidRPr="00864C49">
        <w:rPr>
          <w:rFonts w:ascii="Bookman Old Style" w:hAnsi="Bookman Old Style"/>
        </w:rPr>
        <w:t xml:space="preserve"> </w:t>
      </w:r>
      <w:r w:rsidRPr="00864C49">
        <w:rPr>
          <w:rFonts w:ascii="Bookman Old Style" w:hAnsi="Bookman Old Style"/>
          <w:shd w:val="clear" w:color="auto" w:fill="FFF59D"/>
        </w:rPr>
        <w:t>[where and when: on site, off site, online, during agency-sponsored activities]</w:t>
      </w:r>
      <w:r w:rsidRPr="00864C49">
        <w:rPr>
          <w:rFonts w:ascii="Bookman Old Style" w:hAnsi="Bookman Old Style"/>
        </w:rPr>
        <w:t xml:space="preserve">. It covers </w:t>
      </w:r>
      <w:r w:rsidRPr="00864C49">
        <w:rPr>
          <w:rFonts w:ascii="Bookman Old Style" w:hAnsi="Bookman Old Style"/>
          <w:shd w:val="clear" w:color="auto" w:fill="FFF59D"/>
        </w:rPr>
        <w:t>[which activities, programs, or devices]</w:t>
      </w:r>
      <w:r w:rsidRPr="00864C49">
        <w:rPr>
          <w:rFonts w:ascii="Bookman Old Style" w:hAnsi="Bookman Old Style"/>
        </w:rPr>
        <w:t>.</w:t>
      </w:r>
    </w:p>
    <w:p w14:paraId="7A26C247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 xml:space="preserve">This policy does not apply to </w:t>
      </w:r>
      <w:r w:rsidRPr="00864C49">
        <w:rPr>
          <w:rFonts w:ascii="Bookman Old Style" w:hAnsi="Bookman Old Style"/>
          <w:shd w:val="clear" w:color="auto" w:fill="FFF59D"/>
        </w:rPr>
        <w:t>[exclusions, or delete this sentence]</w:t>
      </w:r>
      <w:r w:rsidRPr="00864C49">
        <w:rPr>
          <w:rFonts w:ascii="Bookman Old Style" w:hAnsi="Bookman Old Style"/>
        </w:rPr>
        <w:t>.</w:t>
      </w:r>
    </w:p>
    <w:tbl>
      <w:tblPr>
        <w:tblW w:w="9360" w:type="dxa"/>
        <w:tblBorders>
          <w:top w:val="none" w:sz="0" w:space="0" w:color="FFFFFF"/>
          <w:left w:val="single" w:sz="24" w:space="0" w:color="2F6F9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E3EEF6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48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2F6F9F"/>
                <w:spacing w:val="30"/>
                <w:sz w:val="16"/>
                <w:szCs w:val="16"/>
              </w:rPr>
              <w:lastRenderedPageBreak/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49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Answer who, what, where, and when.</w:t>
            </w:r>
          </w:p>
          <w:p w14:paraId="7A26C24A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State exclusions in writing; silence creates gaps.</w:t>
            </w:r>
          </w:p>
        </w:tc>
      </w:tr>
    </w:tbl>
    <w:p w14:paraId="7A26C24C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4.0  Definitions</w:t>
      </w:r>
    </w:p>
    <w:p w14:paraId="7A26C24D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For purposes of this policy:</w:t>
      </w:r>
    </w:p>
    <w:p w14:paraId="7A26C24E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shd w:val="clear" w:color="auto" w:fill="FFF59D"/>
        </w:rPr>
        <w:t>[Term]</w:t>
      </w:r>
      <w:r w:rsidRPr="00864C49">
        <w:rPr>
          <w:rFonts w:ascii="Bookman Old Style" w:hAnsi="Bookman Old Style"/>
        </w:rPr>
        <w:t xml:space="preserve">: </w:t>
      </w:r>
      <w:r w:rsidRPr="00864C49">
        <w:rPr>
          <w:rFonts w:ascii="Bookman Old Style" w:hAnsi="Bookman Old Style"/>
          <w:shd w:val="clear" w:color="auto" w:fill="FFF59D"/>
        </w:rPr>
        <w:t>[One clear meaning.]</w:t>
      </w:r>
    </w:p>
    <w:p w14:paraId="7A26C24F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shd w:val="clear" w:color="auto" w:fill="FFF59D"/>
        </w:rPr>
        <w:t>[Term]</w:t>
      </w:r>
      <w:r w:rsidRPr="00864C49">
        <w:rPr>
          <w:rFonts w:ascii="Bookman Old Style" w:hAnsi="Bookman Old Style"/>
        </w:rPr>
        <w:t xml:space="preserve">: </w:t>
      </w:r>
      <w:r w:rsidRPr="00864C49">
        <w:rPr>
          <w:rFonts w:ascii="Bookman Old Style" w:hAnsi="Bookman Old Style"/>
          <w:shd w:val="clear" w:color="auto" w:fill="FFF59D"/>
        </w:rPr>
        <w:t>[One clear meaning.]</w:t>
      </w:r>
    </w:p>
    <w:p w14:paraId="7A26C250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shd w:val="clear" w:color="auto" w:fill="FFF59D"/>
        </w:rPr>
        <w:t>[Term]</w:t>
      </w:r>
      <w:r w:rsidRPr="00864C49">
        <w:rPr>
          <w:rFonts w:ascii="Bookman Old Style" w:hAnsi="Bookman Old Style"/>
        </w:rPr>
        <w:t xml:space="preserve">: </w:t>
      </w:r>
      <w:r w:rsidRPr="00864C49">
        <w:rPr>
          <w:rFonts w:ascii="Bookman Old Style" w:hAnsi="Bookman Old Style"/>
          <w:shd w:val="clear" w:color="auto" w:fill="FFF59D"/>
        </w:rPr>
        <w:t>[One clear meaning, or "as defined in [statute or rule citation]."]</w:t>
      </w:r>
    </w:p>
    <w:tbl>
      <w:tblPr>
        <w:tblW w:w="9360" w:type="dxa"/>
        <w:tblBorders>
          <w:top w:val="none" w:sz="0" w:space="0" w:color="FFFFFF"/>
          <w:left w:val="single" w:sz="24" w:space="0" w:color="6F4E9C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EEE8F5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51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6F4E9C"/>
                <w:spacing w:val="30"/>
                <w:sz w:val="16"/>
                <w:szCs w:val="16"/>
              </w:rPr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52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Define only terms the policy uses, in alphabetical order.</w:t>
            </w:r>
          </w:p>
          <w:p w14:paraId="7A26C253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Capitalize defined terms and use them exactly the same way throughout.</w:t>
            </w:r>
          </w:p>
          <w:p w14:paraId="7A26C254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Use or cite a statutory definition when one exists. Never put a rule inside a definition.</w:t>
            </w:r>
          </w:p>
        </w:tc>
      </w:tr>
    </w:tbl>
    <w:p w14:paraId="7A26C256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5.0  Policy Statements</w:t>
      </w:r>
    </w:p>
    <w:p w14:paraId="7A26C257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5.1  </w:t>
      </w:r>
      <w:r w:rsidRPr="00864C49">
        <w:rPr>
          <w:rFonts w:ascii="Bookman Old Style" w:hAnsi="Bookman Old Style"/>
          <w:b/>
          <w:bCs/>
          <w:shd w:val="clear" w:color="auto" w:fill="FFF59D"/>
        </w:rPr>
        <w:t>[Subject]</w:t>
      </w:r>
      <w:r w:rsidRPr="00864C49">
        <w:rPr>
          <w:rFonts w:ascii="Bookman Old Style" w:hAnsi="Bookman Old Style"/>
          <w:b/>
          <w:bCs/>
        </w:rPr>
        <w:t xml:space="preserve">. </w:t>
      </w:r>
      <w:r w:rsidRPr="00864C49">
        <w:rPr>
          <w:rFonts w:ascii="Bookman Old Style" w:hAnsi="Bookman Old Style"/>
        </w:rPr>
        <w:t xml:space="preserve">The </w:t>
      </w:r>
      <w:r w:rsidRPr="00864C49">
        <w:rPr>
          <w:rFonts w:ascii="Bookman Old Style" w:hAnsi="Bookman Old Style"/>
          <w:shd w:val="clear" w:color="auto" w:fill="FFF59D"/>
        </w:rPr>
        <w:t>[position title]</w:t>
      </w:r>
      <w:r w:rsidRPr="00864C49">
        <w:rPr>
          <w:rFonts w:ascii="Bookman Old Style" w:hAnsi="Bookman Old Style"/>
        </w:rPr>
        <w:t xml:space="preserve"> shall </w:t>
      </w:r>
      <w:r w:rsidRPr="00864C49">
        <w:rPr>
          <w:rFonts w:ascii="Bookman Old Style" w:hAnsi="Bookman Old Style"/>
          <w:shd w:val="clear" w:color="auto" w:fill="FFF59D"/>
        </w:rPr>
        <w:t>[required action]</w:t>
      </w:r>
      <w:r w:rsidRPr="00864C49">
        <w:rPr>
          <w:rFonts w:ascii="Bookman Old Style" w:hAnsi="Bookman Old Style"/>
        </w:rPr>
        <w:t>.</w:t>
      </w:r>
    </w:p>
    <w:p w14:paraId="7A26C258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5.2  </w:t>
      </w:r>
      <w:r w:rsidRPr="00864C49">
        <w:rPr>
          <w:rFonts w:ascii="Bookman Old Style" w:hAnsi="Bookman Old Style"/>
          <w:b/>
          <w:bCs/>
          <w:shd w:val="clear" w:color="auto" w:fill="FFF59D"/>
        </w:rPr>
        <w:t>[Subject]</w:t>
      </w:r>
      <w:r w:rsidRPr="00864C49">
        <w:rPr>
          <w:rFonts w:ascii="Bookman Old Style" w:hAnsi="Bookman Old Style"/>
          <w:b/>
          <w:bCs/>
        </w:rPr>
        <w:t xml:space="preserve">. </w:t>
      </w:r>
      <w:r w:rsidRPr="00864C49">
        <w:rPr>
          <w:rFonts w:ascii="Bookman Old Style" w:hAnsi="Bookman Old Style"/>
          <w:shd w:val="clear" w:color="auto" w:fill="FFF59D"/>
        </w:rPr>
        <w:t>[Who]</w:t>
      </w:r>
      <w:r w:rsidRPr="00864C49">
        <w:rPr>
          <w:rFonts w:ascii="Bookman Old Style" w:hAnsi="Bookman Old Style"/>
        </w:rPr>
        <w:t xml:space="preserve"> shall not </w:t>
      </w:r>
      <w:r w:rsidRPr="00864C49">
        <w:rPr>
          <w:rFonts w:ascii="Bookman Old Style" w:hAnsi="Bookman Old Style"/>
          <w:shd w:val="clear" w:color="auto" w:fill="FFF59D"/>
        </w:rPr>
        <w:t>[prohibited action]</w:t>
      </w:r>
      <w:r w:rsidRPr="00864C49">
        <w:rPr>
          <w:rFonts w:ascii="Bookman Old Style" w:hAnsi="Bookman Old Style"/>
        </w:rPr>
        <w:t>.</w:t>
      </w:r>
    </w:p>
    <w:p w14:paraId="7A26C259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5.3  </w:t>
      </w:r>
      <w:r w:rsidRPr="00864C49">
        <w:rPr>
          <w:rFonts w:ascii="Bookman Old Style" w:hAnsi="Bookman Old Style"/>
          <w:b/>
          <w:bCs/>
          <w:shd w:val="clear" w:color="auto" w:fill="FFF59D"/>
        </w:rPr>
        <w:t>[Subject]</w:t>
      </w:r>
      <w:r w:rsidRPr="00864C49">
        <w:rPr>
          <w:rFonts w:ascii="Bookman Old Style" w:hAnsi="Bookman Old Style"/>
          <w:b/>
          <w:bCs/>
        </w:rPr>
        <w:t xml:space="preserve">. </w:t>
      </w:r>
      <w:r w:rsidRPr="00864C49">
        <w:rPr>
          <w:rFonts w:ascii="Bookman Old Style" w:hAnsi="Bookman Old Style"/>
        </w:rPr>
        <w:t xml:space="preserve">The </w:t>
      </w:r>
      <w:r w:rsidRPr="00864C49">
        <w:rPr>
          <w:rFonts w:ascii="Bookman Old Style" w:hAnsi="Bookman Old Style"/>
          <w:shd w:val="clear" w:color="auto" w:fill="FFF59D"/>
        </w:rPr>
        <w:t>[position title]</w:t>
      </w:r>
      <w:r w:rsidRPr="00864C49">
        <w:rPr>
          <w:rFonts w:ascii="Bookman Old Style" w:hAnsi="Bookman Old Style"/>
        </w:rPr>
        <w:t xml:space="preserve"> may </w:t>
      </w:r>
      <w:r w:rsidRPr="00864C49">
        <w:rPr>
          <w:rFonts w:ascii="Bookman Old Style" w:hAnsi="Bookman Old Style"/>
          <w:shd w:val="clear" w:color="auto" w:fill="FFF59D"/>
        </w:rPr>
        <w:t>[permitted action]</w:t>
      </w:r>
      <w:r w:rsidRPr="00864C49">
        <w:rPr>
          <w:rFonts w:ascii="Bookman Old Style" w:hAnsi="Bookman Old Style"/>
        </w:rPr>
        <w:t xml:space="preserve"> when </w:t>
      </w:r>
      <w:r w:rsidRPr="00864C49">
        <w:rPr>
          <w:rFonts w:ascii="Bookman Old Style" w:hAnsi="Bookman Old Style"/>
          <w:shd w:val="clear" w:color="auto" w:fill="FFF59D"/>
        </w:rPr>
        <w:t>[condition]</w:t>
      </w:r>
      <w:r w:rsidRPr="00864C49">
        <w:rPr>
          <w:rFonts w:ascii="Bookman Old Style" w:hAnsi="Bookman Old Style"/>
        </w:rPr>
        <w:t>.</w:t>
      </w:r>
    </w:p>
    <w:p w14:paraId="7A26C25A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5.4  Implementation. </w:t>
      </w:r>
      <w:r w:rsidRPr="00864C49">
        <w:rPr>
          <w:rFonts w:ascii="Bookman Old Style" w:hAnsi="Bookman Old Style"/>
        </w:rPr>
        <w:t xml:space="preserve">The </w:t>
      </w:r>
      <w:r w:rsidRPr="00864C49">
        <w:rPr>
          <w:rFonts w:ascii="Bookman Old Style" w:hAnsi="Bookman Old Style"/>
          <w:shd w:val="clear" w:color="auto" w:fill="FFF59D"/>
        </w:rPr>
        <w:t>[Head Administrator / Executive Director]</w:t>
      </w:r>
      <w:r w:rsidRPr="00864C49">
        <w:rPr>
          <w:rFonts w:ascii="Bookman Old Style" w:hAnsi="Bookman Old Style"/>
        </w:rPr>
        <w:t xml:space="preserve"> shall adopt procedures to carry out this policy.</w:t>
      </w:r>
    </w:p>
    <w:tbl>
      <w:tblPr>
        <w:tblW w:w="9360" w:type="dxa"/>
        <w:tblBorders>
          <w:top w:val="none" w:sz="0" w:space="0" w:color="FFFFFF"/>
          <w:left w:val="single" w:sz="24" w:space="0" w:color="C9861C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FCF0DB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5B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C9861C"/>
                <w:spacing w:val="30"/>
                <w:sz w:val="16"/>
                <w:szCs w:val="16"/>
              </w:rPr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5C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One rule per numbered item. Use "shall" for duties, "shall not" for prohibitions, and "may" only for real discretion; avoid "should" and "will."</w:t>
            </w:r>
          </w:p>
          <w:p w14:paraId="7A26C25D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Name a position title, never a person. Use active voice.</w:t>
            </w:r>
          </w:p>
          <w:p w14:paraId="7A26C25E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Keep the what and why here. Forms, rooms, and step-by-step instructions go in the procedure.</w:t>
            </w:r>
          </w:p>
        </w:tc>
      </w:tr>
    </w:tbl>
    <w:p w14:paraId="7A26C260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6.0  Consequences and Enforcement</w:t>
      </w:r>
    </w:p>
    <w:p w14:paraId="7A26C261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6.1  Classification. </w:t>
      </w:r>
      <w:r w:rsidRPr="00864C49">
        <w:rPr>
          <w:rFonts w:ascii="Bookman Old Style" w:hAnsi="Bookman Old Style"/>
        </w:rPr>
        <w:t xml:space="preserve">A violation of Section 5.0 shall be handled under </w:t>
      </w:r>
      <w:r w:rsidRPr="00864C49">
        <w:rPr>
          <w:rFonts w:ascii="Bookman Old Style" w:hAnsi="Bookman Old Style"/>
          <w:shd w:val="clear" w:color="auto" w:fill="FFF59D"/>
        </w:rPr>
        <w:t>[code of conduct, personnel policy, or other governing document]</w:t>
      </w:r>
      <w:r w:rsidRPr="00864C49">
        <w:rPr>
          <w:rFonts w:ascii="Bookman Old Style" w:hAnsi="Bookman Old Style"/>
        </w:rPr>
        <w:t>.</w:t>
      </w:r>
    </w:p>
    <w:p w14:paraId="7A26C262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6.2  Notice and Opportunity to Respond. </w:t>
      </w:r>
      <w:r w:rsidRPr="00864C49">
        <w:rPr>
          <w:rFonts w:ascii="Bookman Old Style" w:hAnsi="Bookman Old Style"/>
        </w:rPr>
        <w:t xml:space="preserve">Before imposing a consequence, the </w:t>
      </w:r>
      <w:r w:rsidRPr="00864C49">
        <w:rPr>
          <w:rFonts w:ascii="Bookman Old Style" w:hAnsi="Bookman Old Style"/>
          <w:shd w:val="clear" w:color="auto" w:fill="FFF59D"/>
        </w:rPr>
        <w:t>[position title]</w:t>
      </w:r>
      <w:r w:rsidRPr="00864C49">
        <w:rPr>
          <w:rFonts w:ascii="Bookman Old Style" w:hAnsi="Bookman Old Style"/>
        </w:rPr>
        <w:t xml:space="preserve"> shall notify </w:t>
      </w:r>
      <w:r w:rsidRPr="00864C49">
        <w:rPr>
          <w:rFonts w:ascii="Bookman Old Style" w:hAnsi="Bookman Old Style"/>
          <w:shd w:val="clear" w:color="auto" w:fill="FFF59D"/>
        </w:rPr>
        <w:t>[the person, and parent or guardian if a student]</w:t>
      </w:r>
      <w:r w:rsidRPr="00864C49">
        <w:rPr>
          <w:rFonts w:ascii="Bookman Old Style" w:hAnsi="Bookman Old Style"/>
        </w:rPr>
        <w:t xml:space="preserve"> and give an opportunity to respond.</w:t>
      </w:r>
    </w:p>
    <w:p w14:paraId="7A26C263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6.3  Range of Consequences. </w:t>
      </w:r>
      <w:r w:rsidRPr="00864C49">
        <w:rPr>
          <w:rFonts w:ascii="Bookman Old Style" w:hAnsi="Bookman Old Style"/>
        </w:rPr>
        <w:t xml:space="preserve">Considering the severity of the violation and any prior violations, the </w:t>
      </w:r>
      <w:r w:rsidRPr="00864C49">
        <w:rPr>
          <w:rFonts w:ascii="Bookman Old Style" w:hAnsi="Bookman Old Style"/>
          <w:shd w:val="clear" w:color="auto" w:fill="FFF59D"/>
        </w:rPr>
        <w:t>[position title]</w:t>
      </w:r>
      <w:r w:rsidRPr="00864C49">
        <w:rPr>
          <w:rFonts w:ascii="Bookman Old Style" w:hAnsi="Bookman Old Style"/>
        </w:rPr>
        <w:t xml:space="preserve"> may impose:</w:t>
      </w:r>
    </w:p>
    <w:p w14:paraId="7A26C264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lastRenderedPageBreak/>
        <w:t xml:space="preserve">First violation: </w:t>
      </w:r>
      <w:r w:rsidRPr="00864C49">
        <w:rPr>
          <w:rFonts w:ascii="Bookman Old Style" w:hAnsi="Bookman Old Style"/>
          <w:shd w:val="clear" w:color="auto" w:fill="FFF59D"/>
        </w:rPr>
        <w:t>[consequence]</w:t>
      </w:r>
    </w:p>
    <w:p w14:paraId="7A26C265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Second violation: </w:t>
      </w:r>
      <w:r w:rsidRPr="00864C49">
        <w:rPr>
          <w:rFonts w:ascii="Bookman Old Style" w:hAnsi="Bookman Old Style"/>
          <w:shd w:val="clear" w:color="auto" w:fill="FFF59D"/>
        </w:rPr>
        <w:t>[consequence]</w:t>
      </w:r>
    </w:p>
    <w:p w14:paraId="7A26C266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Repeated or severe violation: </w:t>
      </w:r>
      <w:r w:rsidRPr="00864C49">
        <w:rPr>
          <w:rFonts w:ascii="Bookman Old Style" w:hAnsi="Bookman Old Style"/>
          <w:shd w:val="clear" w:color="auto" w:fill="FFF59D"/>
        </w:rPr>
        <w:t>[consequence or referral]</w:t>
      </w:r>
    </w:p>
    <w:p w14:paraId="7A26C267" w14:textId="77777777" w:rsidR="00B7652C" w:rsidRPr="00864C49" w:rsidRDefault="00000000">
      <w:pPr>
        <w:spacing w:after="12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6.4  Special Considerations. </w:t>
      </w:r>
      <w:r w:rsidRPr="00864C49">
        <w:rPr>
          <w:rFonts w:ascii="Bookman Old Style" w:hAnsi="Bookman Old Style"/>
          <w:shd w:val="clear" w:color="auto" w:fill="FFF59D"/>
        </w:rPr>
        <w:t>[For example: students with an IEP or Section 504 plan, employees under a collective bargaining agreement. Delete if not applicable.]</w:t>
      </w:r>
    </w:p>
    <w:tbl>
      <w:tblPr>
        <w:tblW w:w="9360" w:type="dxa"/>
        <w:tblBorders>
          <w:top w:val="none" w:sz="0" w:space="0" w:color="FFFFFF"/>
          <w:left w:val="single" w:sz="24" w:space="0" w:color="B5462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F8E4DF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68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B5462F"/>
                <w:spacing w:val="30"/>
                <w:sz w:val="16"/>
                <w:szCs w:val="16"/>
              </w:rPr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69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"Shall" for the process, "may" for the range of consequences, so the decision-maker keeps judgment.</w:t>
            </w:r>
          </w:p>
          <w:p w14:paraId="7A26C26A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Build in notice and a chance to respond.</w:t>
            </w:r>
          </w:p>
          <w:p w14:paraId="7A26C26B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Check for conflicts with any collective bargaining agreement or special education requirements.</w:t>
            </w:r>
          </w:p>
        </w:tc>
      </w:tr>
    </w:tbl>
    <w:p w14:paraId="7A26C26D" w14:textId="77777777" w:rsidR="00B7652C" w:rsidRPr="00864C49" w:rsidRDefault="00000000">
      <w:pPr>
        <w:pStyle w:val="Heading1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7.0  Authority and Related Resources</w:t>
      </w:r>
    </w:p>
    <w:p w14:paraId="7A26C26E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Legal authority: </w:t>
      </w:r>
      <w:r w:rsidRPr="00864C49">
        <w:rPr>
          <w:rFonts w:ascii="Bookman Old Style" w:hAnsi="Bookman Old Style"/>
          <w:shd w:val="clear" w:color="auto" w:fill="FFF59D"/>
        </w:rPr>
        <w:t>[Statute or rule citations, e.g., NMSA 1978 § __; __ NMAC; federal citations]</w:t>
      </w:r>
    </w:p>
    <w:p w14:paraId="7A26C26F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Related policies: </w:t>
      </w:r>
      <w:r w:rsidRPr="00864C49">
        <w:rPr>
          <w:rFonts w:ascii="Bookman Old Style" w:hAnsi="Bookman Old Style"/>
          <w:shd w:val="clear" w:color="auto" w:fill="FFF59D"/>
        </w:rPr>
        <w:t>[Policy IDs and titles]</w:t>
      </w:r>
    </w:p>
    <w:p w14:paraId="7A26C270" w14:textId="3EE9A397" w:rsidR="00B7652C" w:rsidRPr="00864C49" w:rsidRDefault="00162A3F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Related</w:t>
      </w:r>
      <w:r w:rsidR="00000000" w:rsidRPr="00864C49">
        <w:rPr>
          <w:rFonts w:ascii="Bookman Old Style" w:hAnsi="Bookman Old Style"/>
          <w:b/>
          <w:bCs/>
        </w:rPr>
        <w:t xml:space="preserve"> procedure: </w:t>
      </w:r>
      <w:r w:rsidR="00000000" w:rsidRPr="00864C49">
        <w:rPr>
          <w:rFonts w:ascii="Bookman Old Style" w:hAnsi="Bookman Old Style"/>
          <w:shd w:val="clear" w:color="auto" w:fill="FFF59D"/>
        </w:rPr>
        <w:t>[Procedure ID and title]</w:t>
      </w:r>
    </w:p>
    <w:p w14:paraId="7A26C271" w14:textId="77777777" w:rsidR="00B7652C" w:rsidRPr="00864C49" w:rsidRDefault="00000000">
      <w:pPr>
        <w:pStyle w:val="ListParagraph"/>
        <w:numPr>
          <w:ilvl w:val="0"/>
          <w:numId w:val="3"/>
        </w:numPr>
        <w:spacing w:after="80" w:line="288" w:lineRule="auto"/>
        <w:rPr>
          <w:rFonts w:ascii="Bookman Old Style" w:hAnsi="Bookman Old Style"/>
        </w:rPr>
      </w:pPr>
      <w:r w:rsidRPr="00864C49">
        <w:rPr>
          <w:rFonts w:ascii="Bookman Old Style" w:hAnsi="Bookman Old Style"/>
          <w:b/>
          <w:bCs/>
        </w:rPr>
        <w:t xml:space="preserve">Forms: </w:t>
      </w:r>
      <w:r w:rsidRPr="00864C49">
        <w:rPr>
          <w:rFonts w:ascii="Bookman Old Style" w:hAnsi="Bookman Old Style"/>
          <w:shd w:val="clear" w:color="auto" w:fill="FFF59D"/>
        </w:rPr>
        <w:t>[Form number and title]</w:t>
      </w:r>
    </w:p>
    <w:tbl>
      <w:tblPr>
        <w:tblW w:w="9360" w:type="dxa"/>
        <w:tblBorders>
          <w:top w:val="none" w:sz="0" w:space="0" w:color="FFFFFF"/>
          <w:left w:val="single" w:sz="24" w:space="0" w:color="4A5A5B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B7652C" w:rsidRPr="00864C49" w14:paraId="7A26C2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E9EDED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7A26C272" w14:textId="77777777" w:rsidR="00B7652C" w:rsidRPr="00864C49" w:rsidRDefault="00000000">
            <w:pPr>
              <w:spacing w:after="60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4A5A5B"/>
                <w:spacing w:val="30"/>
                <w:sz w:val="16"/>
                <w:szCs w:val="16"/>
              </w:rPr>
              <w:t xml:space="preserve">DRAFTING NOTE  </w:t>
            </w:r>
            <w:r w:rsidRPr="00864C49">
              <w:rPr>
                <w:rFonts w:ascii="Bookman Old Style" w:hAnsi="Bookman Old Style"/>
                <w:i/>
                <w:iCs/>
                <w:color w:val="5B6B6C"/>
                <w:sz w:val="16"/>
                <w:szCs w:val="16"/>
              </w:rPr>
              <w:t>Delete this box before adoption.</w:t>
            </w:r>
          </w:p>
          <w:p w14:paraId="7A26C273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Have counsel confirm every citation.</w:t>
            </w:r>
          </w:p>
          <w:p w14:paraId="7A26C274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Re-check citations at each review; statutes get amended and subsections renumbered.</w:t>
            </w:r>
          </w:p>
          <w:p w14:paraId="7A26C275" w14:textId="77777777" w:rsidR="00B7652C" w:rsidRPr="00864C49" w:rsidRDefault="00000000">
            <w:pPr>
              <w:pStyle w:val="ListParagraph"/>
              <w:numPr>
                <w:ilvl w:val="0"/>
                <w:numId w:val="2"/>
              </w:numPr>
              <w:spacing w:after="40" w:line="256" w:lineRule="auto"/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color w:val="33403F"/>
                <w:sz w:val="19"/>
                <w:szCs w:val="19"/>
              </w:rPr>
              <w:t>Give each form a unique number.</w:t>
            </w:r>
          </w:p>
        </w:tc>
      </w:tr>
    </w:tbl>
    <w:p w14:paraId="7A26C277" w14:textId="77777777" w:rsidR="00B7652C" w:rsidRPr="00864C49" w:rsidRDefault="00000000">
      <w:pPr>
        <w:pStyle w:val="Heading2"/>
        <w:spacing w:before="360" w:after="120"/>
        <w:rPr>
          <w:rFonts w:ascii="Bookman Old Style" w:hAnsi="Bookman Old Style"/>
        </w:rPr>
      </w:pPr>
      <w:r w:rsidRPr="00864C49">
        <w:rPr>
          <w:rFonts w:ascii="Bookman Old Style" w:hAnsi="Bookman Old Style"/>
        </w:rPr>
        <w:t>Adoption and Revision History</w:t>
      </w:r>
    </w:p>
    <w:tbl>
      <w:tblPr>
        <w:tblW w:w="9360" w:type="dxa"/>
        <w:tblBorders>
          <w:top w:val="single" w:sz="8" w:space="0" w:color="0F3D3E"/>
          <w:left w:val="none" w:sz="0" w:space="0" w:color="FFFFFF"/>
          <w:bottom w:val="single" w:sz="8" w:space="0" w:color="0F3D3E"/>
          <w:right w:val="none" w:sz="0" w:space="0" w:color="FFFFFF"/>
          <w:insideH w:val="single" w:sz="4" w:space="0" w:color="D5DFDD"/>
          <w:insideV w:val="single" w:sz="4" w:space="0" w:color="D5DFDD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600"/>
        <w:gridCol w:w="4860"/>
      </w:tblGrid>
      <w:tr w:rsidR="00B7652C" w:rsidRPr="00864C49" w14:paraId="7A26C27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shd w:val="clear" w:color="auto" w:fill="0F3D3E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26C278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600" w:type="dxa"/>
            <w:shd w:val="clear" w:color="auto" w:fill="0F3D3E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26C279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FFFFFF"/>
                <w:sz w:val="20"/>
                <w:szCs w:val="20"/>
              </w:rPr>
              <w:t>Action</w:t>
            </w:r>
          </w:p>
        </w:tc>
        <w:tc>
          <w:tcPr>
            <w:tcW w:w="4860" w:type="dxa"/>
            <w:shd w:val="clear" w:color="auto" w:fill="0F3D3E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A26C27A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b/>
                <w:bCs/>
                <w:color w:val="FFFFFF"/>
                <w:sz w:val="20"/>
                <w:szCs w:val="20"/>
              </w:rPr>
              <w:t>Board Minutes Reference</w:t>
            </w:r>
          </w:p>
        </w:tc>
      </w:tr>
      <w:tr w:rsidR="00B7652C" w:rsidRPr="00864C49" w14:paraId="7A26C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7C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[Date]</w:t>
            </w:r>
          </w:p>
        </w:tc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7D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</w:rPr>
              <w:t>Adopted</w:t>
            </w:r>
          </w:p>
        </w:tc>
        <w:tc>
          <w:tcPr>
            <w:tcW w:w="486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7E" w14:textId="77777777" w:rsidR="00B7652C" w:rsidRPr="00864C49" w:rsidRDefault="00000000">
            <w:pPr>
              <w:rPr>
                <w:rFonts w:ascii="Bookman Old Style" w:hAnsi="Bookman Old Style"/>
              </w:rPr>
            </w:pPr>
            <w:r w:rsidRPr="00864C49">
              <w:rPr>
                <w:rFonts w:ascii="Bookman Old Style" w:hAnsi="Bookman Old Style"/>
                <w:shd w:val="clear" w:color="auto" w:fill="FFF59D"/>
              </w:rPr>
              <w:t>[Meeting date, item #]</w:t>
            </w:r>
          </w:p>
        </w:tc>
      </w:tr>
      <w:tr w:rsidR="00B7652C" w:rsidRPr="00864C49" w14:paraId="7A26C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80" w14:textId="77777777" w:rsidR="00B7652C" w:rsidRPr="00864C49" w:rsidRDefault="00B7652C">
            <w:pPr>
              <w:rPr>
                <w:rFonts w:ascii="Bookman Old Style" w:hAnsi="Bookman Old Style"/>
              </w:rPr>
            </w:pPr>
          </w:p>
        </w:tc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81" w14:textId="77777777" w:rsidR="00B7652C" w:rsidRPr="00864C49" w:rsidRDefault="00B7652C">
            <w:pPr>
              <w:rPr>
                <w:rFonts w:ascii="Bookman Old Style" w:hAnsi="Bookman Old Style"/>
              </w:rPr>
            </w:pPr>
          </w:p>
        </w:tc>
        <w:tc>
          <w:tcPr>
            <w:tcW w:w="486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82" w14:textId="77777777" w:rsidR="00B7652C" w:rsidRPr="00864C49" w:rsidRDefault="00B7652C">
            <w:pPr>
              <w:rPr>
                <w:rFonts w:ascii="Bookman Old Style" w:hAnsi="Bookman Old Style"/>
              </w:rPr>
            </w:pPr>
          </w:p>
        </w:tc>
      </w:tr>
      <w:tr w:rsidR="00B7652C" w:rsidRPr="00864C49" w14:paraId="7A26C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84" w14:textId="77777777" w:rsidR="00B7652C" w:rsidRPr="00864C49" w:rsidRDefault="00B7652C">
            <w:pPr>
              <w:rPr>
                <w:rFonts w:ascii="Bookman Old Style" w:hAnsi="Bookman Old Style"/>
              </w:rPr>
            </w:pPr>
          </w:p>
        </w:tc>
        <w:tc>
          <w:tcPr>
            <w:tcW w:w="260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85" w14:textId="77777777" w:rsidR="00B7652C" w:rsidRPr="00864C49" w:rsidRDefault="00B7652C">
            <w:pPr>
              <w:rPr>
                <w:rFonts w:ascii="Bookman Old Style" w:hAnsi="Bookman Old Style"/>
              </w:rPr>
            </w:pPr>
          </w:p>
        </w:tc>
        <w:tc>
          <w:tcPr>
            <w:tcW w:w="4860" w:type="dxa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26C286" w14:textId="77777777" w:rsidR="00B7652C" w:rsidRPr="00864C49" w:rsidRDefault="00B7652C">
            <w:pPr>
              <w:rPr>
                <w:rFonts w:ascii="Bookman Old Style" w:hAnsi="Bookman Old Style"/>
              </w:rPr>
            </w:pPr>
          </w:p>
        </w:tc>
      </w:tr>
    </w:tbl>
    <w:p w14:paraId="7A26C288" w14:textId="77777777" w:rsidR="00C06694" w:rsidRPr="00864C49" w:rsidRDefault="00C06694">
      <w:pPr>
        <w:rPr>
          <w:rFonts w:ascii="Bookman Old Style" w:hAnsi="Bookman Old Style"/>
        </w:rPr>
      </w:pPr>
    </w:p>
    <w:sectPr w:rsidR="00C06694" w:rsidRPr="00864C49">
      <w:headerReference w:type="default" r:id="rId7"/>
      <w:footerReference w:type="default" r:id="rId8"/>
      <w:pgSz w:w="12240" w:h="15840"/>
      <w:pgMar w:top="13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1E795" w14:textId="77777777" w:rsidR="00C06694" w:rsidRDefault="00C06694">
      <w:r>
        <w:separator/>
      </w:r>
    </w:p>
  </w:endnote>
  <w:endnote w:type="continuationSeparator" w:id="0">
    <w:p w14:paraId="0405DC2D" w14:textId="77777777" w:rsidR="00C06694" w:rsidRDefault="00C06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C289" w14:textId="7BDB4BED" w:rsidR="00B7652C" w:rsidRDefault="00000000">
    <w:pPr>
      <w:jc w:val="center"/>
    </w:pPr>
    <w:r>
      <w:rPr>
        <w:color w:val="7A8A8B"/>
        <w:sz w:val="16"/>
        <w:szCs w:val="16"/>
      </w:rPr>
      <w:t xml:space="preserve">Page </w:t>
    </w:r>
    <w:r>
      <w:rPr>
        <w:color w:val="7A8A8B"/>
        <w:sz w:val="16"/>
        <w:szCs w:val="16"/>
      </w:rPr>
      <w:fldChar w:fldCharType="begin"/>
    </w:r>
    <w:r>
      <w:rPr>
        <w:color w:val="7A8A8B"/>
        <w:sz w:val="16"/>
        <w:szCs w:val="16"/>
      </w:rPr>
      <w:instrText>PAGE</w:instrText>
    </w:r>
    <w:r>
      <w:rPr>
        <w:color w:val="7A8A8B"/>
        <w:sz w:val="16"/>
        <w:szCs w:val="16"/>
      </w:rPr>
      <w:fldChar w:fldCharType="separate"/>
    </w:r>
    <w:r w:rsidR="00864C49">
      <w:rPr>
        <w:noProof/>
        <w:color w:val="7A8A8B"/>
        <w:sz w:val="16"/>
        <w:szCs w:val="16"/>
      </w:rPr>
      <w:t>1</w:t>
    </w:r>
    <w:r>
      <w:rPr>
        <w:color w:val="7A8A8B"/>
        <w:sz w:val="16"/>
        <w:szCs w:val="16"/>
      </w:rPr>
      <w:fldChar w:fldCharType="end"/>
    </w:r>
    <w:r>
      <w:rPr>
        <w:color w:val="7A8A8B"/>
        <w:sz w:val="16"/>
        <w:szCs w:val="16"/>
      </w:rPr>
      <w:t xml:space="preserve"> of </w:t>
    </w:r>
    <w:r>
      <w:rPr>
        <w:color w:val="7A8A8B"/>
        <w:sz w:val="16"/>
        <w:szCs w:val="16"/>
      </w:rPr>
      <w:fldChar w:fldCharType="begin"/>
    </w:r>
    <w:r>
      <w:rPr>
        <w:color w:val="7A8A8B"/>
        <w:sz w:val="16"/>
        <w:szCs w:val="16"/>
      </w:rPr>
      <w:instrText>NUMPAGES</w:instrText>
    </w:r>
    <w:r>
      <w:rPr>
        <w:color w:val="7A8A8B"/>
        <w:sz w:val="16"/>
        <w:szCs w:val="16"/>
      </w:rPr>
      <w:fldChar w:fldCharType="separate"/>
    </w:r>
    <w:r w:rsidR="00864C49">
      <w:rPr>
        <w:noProof/>
        <w:color w:val="7A8A8B"/>
        <w:sz w:val="16"/>
        <w:szCs w:val="16"/>
      </w:rPr>
      <w:t>2</w:t>
    </w:r>
    <w:r>
      <w:rPr>
        <w:color w:val="7A8A8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C8C4A" w14:textId="77777777" w:rsidR="00C06694" w:rsidRDefault="00C06694">
      <w:r>
        <w:separator/>
      </w:r>
    </w:p>
  </w:footnote>
  <w:footnote w:type="continuationSeparator" w:id="0">
    <w:p w14:paraId="7180771D" w14:textId="77777777" w:rsidR="00C06694" w:rsidRDefault="00C066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6C288" w14:textId="77777777" w:rsidR="00B7652C" w:rsidRDefault="00000000">
    <w:pPr>
      <w:jc w:val="right"/>
    </w:pPr>
    <w:r>
      <w:rPr>
        <w:color w:val="7A8A8B"/>
        <w:sz w:val="16"/>
        <w:szCs w:val="16"/>
      </w:rPr>
      <w:t>[Agency Name]  |  Policy [ID]: [Title]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152B8"/>
    <w:multiLevelType w:val="hybridMultilevel"/>
    <w:tmpl w:val="5C1E5212"/>
    <w:lvl w:ilvl="0" w:tplc="D7AEDB72">
      <w:start w:val="1"/>
      <w:numFmt w:val="bullet"/>
      <w:lvlText w:val="●"/>
      <w:lvlJc w:val="left"/>
      <w:pPr>
        <w:ind w:left="720" w:hanging="360"/>
      </w:pPr>
    </w:lvl>
    <w:lvl w:ilvl="1" w:tplc="4328DCAE">
      <w:start w:val="1"/>
      <w:numFmt w:val="bullet"/>
      <w:lvlText w:val="○"/>
      <w:lvlJc w:val="left"/>
      <w:pPr>
        <w:ind w:left="1440" w:hanging="360"/>
      </w:pPr>
    </w:lvl>
    <w:lvl w:ilvl="2" w:tplc="C00E8382">
      <w:start w:val="1"/>
      <w:numFmt w:val="bullet"/>
      <w:lvlText w:val="■"/>
      <w:lvlJc w:val="left"/>
      <w:pPr>
        <w:ind w:left="2160" w:hanging="360"/>
      </w:pPr>
    </w:lvl>
    <w:lvl w:ilvl="3" w:tplc="A22621A6">
      <w:start w:val="1"/>
      <w:numFmt w:val="bullet"/>
      <w:lvlText w:val="●"/>
      <w:lvlJc w:val="left"/>
      <w:pPr>
        <w:ind w:left="2880" w:hanging="360"/>
      </w:pPr>
    </w:lvl>
    <w:lvl w:ilvl="4" w:tplc="2BA4A1D6">
      <w:start w:val="1"/>
      <w:numFmt w:val="bullet"/>
      <w:lvlText w:val="○"/>
      <w:lvlJc w:val="left"/>
      <w:pPr>
        <w:ind w:left="3600" w:hanging="360"/>
      </w:pPr>
    </w:lvl>
    <w:lvl w:ilvl="5" w:tplc="F7D2E2EC">
      <w:start w:val="1"/>
      <w:numFmt w:val="bullet"/>
      <w:lvlText w:val="■"/>
      <w:lvlJc w:val="left"/>
      <w:pPr>
        <w:ind w:left="4320" w:hanging="360"/>
      </w:pPr>
    </w:lvl>
    <w:lvl w:ilvl="6" w:tplc="3E665404">
      <w:start w:val="1"/>
      <w:numFmt w:val="bullet"/>
      <w:lvlText w:val="●"/>
      <w:lvlJc w:val="left"/>
      <w:pPr>
        <w:ind w:left="5040" w:hanging="360"/>
      </w:pPr>
    </w:lvl>
    <w:lvl w:ilvl="7" w:tplc="8EC244F0">
      <w:start w:val="1"/>
      <w:numFmt w:val="bullet"/>
      <w:lvlText w:val="●"/>
      <w:lvlJc w:val="left"/>
      <w:pPr>
        <w:ind w:left="5760" w:hanging="360"/>
      </w:pPr>
    </w:lvl>
    <w:lvl w:ilvl="8" w:tplc="0EC28C8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F6C56D0"/>
    <w:multiLevelType w:val="hybridMultilevel"/>
    <w:tmpl w:val="53D478AE"/>
    <w:lvl w:ilvl="0" w:tplc="2EE45756">
      <w:start w:val="1"/>
      <w:numFmt w:val="bullet"/>
      <w:lvlText w:val="•"/>
      <w:lvlJc w:val="left"/>
      <w:pPr>
        <w:ind w:left="540" w:hanging="300"/>
      </w:pPr>
    </w:lvl>
    <w:lvl w:ilvl="1" w:tplc="E6A014A2">
      <w:numFmt w:val="decimal"/>
      <w:lvlText w:val=""/>
      <w:lvlJc w:val="left"/>
    </w:lvl>
    <w:lvl w:ilvl="2" w:tplc="EA3CB67C">
      <w:numFmt w:val="decimal"/>
      <w:lvlText w:val=""/>
      <w:lvlJc w:val="left"/>
    </w:lvl>
    <w:lvl w:ilvl="3" w:tplc="60E6AB64">
      <w:numFmt w:val="decimal"/>
      <w:lvlText w:val=""/>
      <w:lvlJc w:val="left"/>
    </w:lvl>
    <w:lvl w:ilvl="4" w:tplc="BBE25FA2">
      <w:numFmt w:val="decimal"/>
      <w:lvlText w:val=""/>
      <w:lvlJc w:val="left"/>
    </w:lvl>
    <w:lvl w:ilvl="5" w:tplc="69289C6C">
      <w:numFmt w:val="decimal"/>
      <w:lvlText w:val=""/>
      <w:lvlJc w:val="left"/>
    </w:lvl>
    <w:lvl w:ilvl="6" w:tplc="531CED30">
      <w:numFmt w:val="decimal"/>
      <w:lvlText w:val=""/>
      <w:lvlJc w:val="left"/>
    </w:lvl>
    <w:lvl w:ilvl="7" w:tplc="D496FA34">
      <w:numFmt w:val="decimal"/>
      <w:lvlText w:val=""/>
      <w:lvlJc w:val="left"/>
    </w:lvl>
    <w:lvl w:ilvl="8" w:tplc="35EC0FD6">
      <w:numFmt w:val="decimal"/>
      <w:lvlText w:val=""/>
      <w:lvlJc w:val="left"/>
    </w:lvl>
  </w:abstractNum>
  <w:abstractNum w:abstractNumId="2" w15:restartNumberingAfterBreak="0">
    <w:nsid w:val="57397DC0"/>
    <w:multiLevelType w:val="hybridMultilevel"/>
    <w:tmpl w:val="0CE881F8"/>
    <w:lvl w:ilvl="0" w:tplc="6B7ABCD6">
      <w:start w:val="1"/>
      <w:numFmt w:val="bullet"/>
      <w:lvlText w:val="✓"/>
      <w:lvlJc w:val="left"/>
      <w:pPr>
        <w:ind w:left="340" w:hanging="280"/>
      </w:pPr>
      <w:rPr>
        <w:b/>
        <w:bCs/>
        <w:color w:val="2E8B7A"/>
      </w:rPr>
    </w:lvl>
    <w:lvl w:ilvl="1" w:tplc="F732E5F0">
      <w:numFmt w:val="decimal"/>
      <w:lvlText w:val=""/>
      <w:lvlJc w:val="left"/>
    </w:lvl>
    <w:lvl w:ilvl="2" w:tplc="EB1E6690">
      <w:numFmt w:val="decimal"/>
      <w:lvlText w:val=""/>
      <w:lvlJc w:val="left"/>
    </w:lvl>
    <w:lvl w:ilvl="3" w:tplc="22629670">
      <w:numFmt w:val="decimal"/>
      <w:lvlText w:val=""/>
      <w:lvlJc w:val="left"/>
    </w:lvl>
    <w:lvl w:ilvl="4" w:tplc="C4BE5F56">
      <w:numFmt w:val="decimal"/>
      <w:lvlText w:val=""/>
      <w:lvlJc w:val="left"/>
    </w:lvl>
    <w:lvl w:ilvl="5" w:tplc="F4B2F238">
      <w:numFmt w:val="decimal"/>
      <w:lvlText w:val=""/>
      <w:lvlJc w:val="left"/>
    </w:lvl>
    <w:lvl w:ilvl="6" w:tplc="F0F68CF0">
      <w:numFmt w:val="decimal"/>
      <w:lvlText w:val=""/>
      <w:lvlJc w:val="left"/>
    </w:lvl>
    <w:lvl w:ilvl="7" w:tplc="4D38AC60">
      <w:numFmt w:val="decimal"/>
      <w:lvlText w:val=""/>
      <w:lvlJc w:val="left"/>
    </w:lvl>
    <w:lvl w:ilvl="8" w:tplc="89CA8A0E">
      <w:numFmt w:val="decimal"/>
      <w:lvlText w:val=""/>
      <w:lvlJc w:val="left"/>
    </w:lvl>
  </w:abstractNum>
  <w:num w:numId="1" w16cid:durableId="706372232">
    <w:abstractNumId w:val="0"/>
    <w:lvlOverride w:ilvl="0">
      <w:startOverride w:val="1"/>
    </w:lvlOverride>
  </w:num>
  <w:num w:numId="2" w16cid:durableId="974218008">
    <w:abstractNumId w:val="2"/>
    <w:lvlOverride w:ilvl="0">
      <w:startOverride w:val="1"/>
    </w:lvlOverride>
  </w:num>
  <w:num w:numId="3" w16cid:durableId="120706053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2C"/>
    <w:rsid w:val="00162A3F"/>
    <w:rsid w:val="00864C49"/>
    <w:rsid w:val="00B7652C"/>
    <w:rsid w:val="00BA6C8A"/>
    <w:rsid w:val="00C06694"/>
    <w:rsid w:val="00FD4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C21F"/>
  <w15:docId w15:val="{6EB3841A-551D-4CBC-972E-4D412415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6" w:space="4" w:color="D5DFDD"/>
      </w:pBdr>
      <w:spacing w:before="320" w:after="140"/>
      <w:outlineLvl w:val="0"/>
    </w:pPr>
    <w:rPr>
      <w:rFonts w:ascii="Cambria" w:eastAsia="Cambria" w:hAnsi="Cambria" w:cs="Cambria"/>
      <w:b/>
      <w:bCs/>
      <w:color w:val="0F3D3E"/>
      <w:sz w:val="28"/>
      <w:szCs w:val="28"/>
    </w:rPr>
  </w:style>
  <w:style w:type="paragraph" w:styleId="Heading2">
    <w:name w:val="heading 2"/>
    <w:uiPriority w:val="9"/>
    <w:unhideWhenUsed/>
    <w:qFormat/>
    <w:pPr>
      <w:keepNext/>
      <w:outlineLvl w:val="1"/>
    </w:pPr>
    <w:rPr>
      <w:rFonts w:ascii="Cambria" w:eastAsia="Cambria" w:hAnsi="Cambria" w:cs="Cambria"/>
      <w:b/>
      <w:bCs/>
      <w:color w:val="0F3D3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rFonts w:ascii="Cambria" w:eastAsia="Cambria" w:hAnsi="Cambria" w:cs="Cambria"/>
      <w:b/>
      <w:bCs/>
      <w:color w:val="0F3D3E"/>
      <w:sz w:val="40"/>
      <w:szCs w:val="40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638</Words>
  <Characters>3553</Characters>
  <Application>Microsoft Office Word</Application>
  <DocSecurity>0</DocSecurity>
  <Lines>104</Lines>
  <Paragraphs>93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Policy Template</dc:title>
  <dc:creator>Policy Without a Policy Office</dc:creator>
  <dc:description>Seven-part board policy template</dc:description>
  <cp:lastModifiedBy>Fred Parker</cp:lastModifiedBy>
  <cp:revision>4</cp:revision>
  <dcterms:created xsi:type="dcterms:W3CDTF">2026-10-01T20:08:00Z</dcterms:created>
  <dcterms:modified xsi:type="dcterms:W3CDTF">2026-10-12T17:05:00Z</dcterms:modified>
</cp:coreProperties>
</file>